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242" w:rsidRPr="007C070D" w:rsidRDefault="007C070D" w:rsidP="004E70B6">
      <w:pPr>
        <w:jc w:val="center"/>
        <w:rPr>
          <w:rFonts w:ascii="Arenski" w:hAnsi="Arenski" w:cs="Times New Roman"/>
          <w:b/>
          <w:sz w:val="28"/>
          <w:szCs w:val="28"/>
        </w:rPr>
      </w:pPr>
      <w:r w:rsidRPr="007C070D">
        <w:rPr>
          <w:rFonts w:ascii="Arenski" w:hAnsi="Arenski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251460</wp:posOffset>
            </wp:positionV>
            <wp:extent cx="2133600" cy="3356610"/>
            <wp:effectExtent l="0" t="0" r="0" b="0"/>
            <wp:wrapTight wrapText="bothSides">
              <wp:wrapPolygon edited="0">
                <wp:start x="0" y="0"/>
                <wp:lineTo x="0" y="21453"/>
                <wp:lineTo x="21407" y="21453"/>
                <wp:lineTo x="214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12833" r="49492" b="23004"/>
                    <a:stretch/>
                  </pic:blipFill>
                  <pic:spPr bwMode="auto">
                    <a:xfrm>
                      <a:off x="0" y="0"/>
                      <a:ext cx="2133600" cy="335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0B6" w:rsidRPr="007C070D">
        <w:rPr>
          <w:rFonts w:ascii="Cambria" w:hAnsi="Cambria" w:cs="Cambria"/>
          <w:b/>
          <w:sz w:val="28"/>
          <w:szCs w:val="28"/>
        </w:rPr>
        <w:t>Анализ</w:t>
      </w:r>
      <w:r w:rsidR="004E70B6" w:rsidRPr="007C070D">
        <w:rPr>
          <w:rFonts w:ascii="Arenski" w:hAnsi="Arenski" w:cs="Times New Roman"/>
          <w:b/>
          <w:sz w:val="28"/>
          <w:szCs w:val="28"/>
        </w:rPr>
        <w:t xml:space="preserve"> </w:t>
      </w:r>
      <w:r w:rsidR="004E70B6" w:rsidRPr="007C070D">
        <w:rPr>
          <w:rFonts w:ascii="Cambria" w:hAnsi="Cambria" w:cs="Cambria"/>
          <w:b/>
          <w:sz w:val="28"/>
          <w:szCs w:val="28"/>
        </w:rPr>
        <w:t>статьи</w:t>
      </w:r>
      <w:r w:rsidR="004E70B6" w:rsidRPr="007C070D">
        <w:rPr>
          <w:rFonts w:ascii="Arenski" w:hAnsi="Arenski" w:cs="Times New Roman"/>
          <w:b/>
          <w:sz w:val="28"/>
          <w:szCs w:val="28"/>
        </w:rPr>
        <w:t xml:space="preserve"> </w:t>
      </w:r>
      <w:r w:rsidR="004E70B6" w:rsidRPr="007C070D">
        <w:rPr>
          <w:rFonts w:ascii="Cambria" w:hAnsi="Cambria" w:cs="Cambria"/>
          <w:b/>
          <w:sz w:val="28"/>
          <w:szCs w:val="28"/>
        </w:rPr>
        <w:t>альманаха</w:t>
      </w:r>
      <w:r w:rsidR="004E70B6" w:rsidRPr="007C070D">
        <w:rPr>
          <w:rFonts w:ascii="Arenski" w:hAnsi="Arenski" w:cs="Times New Roman"/>
          <w:b/>
          <w:sz w:val="28"/>
          <w:szCs w:val="28"/>
        </w:rPr>
        <w:t xml:space="preserve"> </w:t>
      </w:r>
      <w:r w:rsidR="004E70B6" w:rsidRPr="007C070D">
        <w:rPr>
          <w:rFonts w:ascii="Cambria" w:hAnsi="Cambria" w:cs="Cambria"/>
          <w:b/>
          <w:sz w:val="28"/>
          <w:szCs w:val="28"/>
        </w:rPr>
        <w:t>«Адам</w:t>
      </w:r>
      <w:r w:rsidR="004E70B6" w:rsidRPr="007C070D">
        <w:rPr>
          <w:rFonts w:ascii="Arenski" w:hAnsi="Arenski" w:cs="Times New Roman"/>
          <w:b/>
          <w:sz w:val="28"/>
          <w:szCs w:val="28"/>
        </w:rPr>
        <w:t xml:space="preserve"> </w:t>
      </w:r>
      <w:r w:rsidR="004E70B6" w:rsidRPr="007C070D">
        <w:rPr>
          <w:rFonts w:ascii="Cambria" w:hAnsi="Cambria" w:cs="Cambria"/>
          <w:b/>
          <w:sz w:val="28"/>
          <w:szCs w:val="28"/>
        </w:rPr>
        <w:t>и</w:t>
      </w:r>
      <w:r w:rsidR="004E70B6" w:rsidRPr="007C070D">
        <w:rPr>
          <w:rFonts w:ascii="Arenski" w:hAnsi="Arenski" w:cs="Times New Roman"/>
          <w:b/>
          <w:sz w:val="28"/>
          <w:szCs w:val="28"/>
        </w:rPr>
        <w:t xml:space="preserve"> </w:t>
      </w:r>
      <w:r w:rsidR="004E70B6" w:rsidRPr="007C070D">
        <w:rPr>
          <w:rFonts w:ascii="Cambria" w:hAnsi="Cambria" w:cs="Cambria"/>
          <w:b/>
          <w:sz w:val="28"/>
          <w:szCs w:val="28"/>
        </w:rPr>
        <w:t>Ева»</w:t>
      </w:r>
    </w:p>
    <w:p w:rsidR="004E70B6" w:rsidRPr="00B74347" w:rsidRDefault="007C070D" w:rsidP="004E70B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E70B6" w:rsidRPr="00B74347">
        <w:rPr>
          <w:rFonts w:ascii="Times New Roman" w:hAnsi="Times New Roman" w:cs="Times New Roman"/>
          <w:sz w:val="28"/>
          <w:szCs w:val="28"/>
        </w:rPr>
        <w:t xml:space="preserve">Фадеева М.В., </w:t>
      </w:r>
      <w:proofErr w:type="spellStart"/>
      <w:r w:rsidR="004E70B6" w:rsidRPr="00B74347">
        <w:rPr>
          <w:rFonts w:ascii="Times New Roman" w:hAnsi="Times New Roman" w:cs="Times New Roman"/>
          <w:sz w:val="28"/>
          <w:szCs w:val="28"/>
        </w:rPr>
        <w:t>Вишленкова</w:t>
      </w:r>
      <w:proofErr w:type="spellEnd"/>
      <w:r w:rsidR="004E70B6" w:rsidRPr="00B74347">
        <w:rPr>
          <w:rFonts w:ascii="Times New Roman" w:hAnsi="Times New Roman" w:cs="Times New Roman"/>
          <w:sz w:val="28"/>
          <w:szCs w:val="28"/>
        </w:rPr>
        <w:t xml:space="preserve"> Е.А.</w:t>
      </w:r>
      <w:r w:rsidR="00A90640" w:rsidRPr="00B74347">
        <w:rPr>
          <w:rFonts w:ascii="Times New Roman" w:hAnsi="Times New Roman" w:cs="Times New Roman"/>
          <w:sz w:val="28"/>
          <w:szCs w:val="28"/>
        </w:rPr>
        <w:t xml:space="preserve"> Семья, любовь и «студенческий вопрос» в России конца </w:t>
      </w:r>
      <w:r w:rsidR="00A90640" w:rsidRPr="00B74347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A90640" w:rsidRPr="00B74347">
        <w:rPr>
          <w:rFonts w:ascii="Times New Roman" w:hAnsi="Times New Roman" w:cs="Times New Roman"/>
          <w:sz w:val="28"/>
          <w:szCs w:val="28"/>
        </w:rPr>
        <w:t xml:space="preserve"> века </w:t>
      </w:r>
      <w:bookmarkEnd w:id="0"/>
      <w:r w:rsidR="00A90640" w:rsidRPr="00B74347">
        <w:rPr>
          <w:rFonts w:ascii="Times New Roman" w:hAnsi="Times New Roman" w:cs="Times New Roman"/>
          <w:sz w:val="28"/>
          <w:szCs w:val="28"/>
        </w:rPr>
        <w:t>[Текст] /</w:t>
      </w:r>
      <w:r w:rsidR="00004EA1" w:rsidRPr="00B74347">
        <w:rPr>
          <w:rFonts w:ascii="Times New Roman" w:hAnsi="Times New Roman" w:cs="Times New Roman"/>
          <w:sz w:val="28"/>
          <w:szCs w:val="28"/>
        </w:rPr>
        <w:t xml:space="preserve"> М.В. Фадеева, Е.А.  </w:t>
      </w:r>
      <w:proofErr w:type="spellStart"/>
      <w:r w:rsidR="00004EA1" w:rsidRPr="00B74347">
        <w:rPr>
          <w:rFonts w:ascii="Times New Roman" w:hAnsi="Times New Roman" w:cs="Times New Roman"/>
          <w:sz w:val="28"/>
          <w:szCs w:val="28"/>
        </w:rPr>
        <w:t>Вишленкова</w:t>
      </w:r>
      <w:proofErr w:type="spellEnd"/>
      <w:r w:rsidR="00004EA1" w:rsidRPr="00B74347">
        <w:rPr>
          <w:rFonts w:ascii="Times New Roman" w:hAnsi="Times New Roman" w:cs="Times New Roman"/>
          <w:sz w:val="28"/>
          <w:szCs w:val="28"/>
        </w:rPr>
        <w:t xml:space="preserve"> </w:t>
      </w:r>
      <w:r w:rsidR="00A90640" w:rsidRPr="00B74347">
        <w:rPr>
          <w:rFonts w:ascii="Times New Roman" w:hAnsi="Times New Roman" w:cs="Times New Roman"/>
          <w:sz w:val="28"/>
          <w:szCs w:val="28"/>
        </w:rPr>
        <w:t>// Адам и Ева. Альманах гендерной истории. - №22.</w:t>
      </w:r>
      <w:r w:rsidR="00004EA1" w:rsidRPr="00B74347">
        <w:rPr>
          <w:rFonts w:ascii="Times New Roman" w:hAnsi="Times New Roman" w:cs="Times New Roman"/>
          <w:sz w:val="28"/>
          <w:szCs w:val="28"/>
        </w:rPr>
        <w:t xml:space="preserve"> -  Москва: ИВИ РАН, 2014</w:t>
      </w:r>
      <w:r w:rsidR="00A90640" w:rsidRPr="00B74347">
        <w:rPr>
          <w:rFonts w:ascii="Times New Roman" w:hAnsi="Times New Roman" w:cs="Times New Roman"/>
          <w:sz w:val="28"/>
          <w:szCs w:val="28"/>
        </w:rPr>
        <w:t xml:space="preserve"> – С. 55 – 72 </w:t>
      </w:r>
      <w:r w:rsidR="004E70B6" w:rsidRPr="00B743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965" w:rsidRPr="00285965" w:rsidRDefault="00285965" w:rsidP="002859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965">
        <w:rPr>
          <w:rFonts w:ascii="Times New Roman" w:hAnsi="Times New Roman" w:cs="Times New Roman"/>
          <w:b/>
          <w:sz w:val="28"/>
          <w:szCs w:val="28"/>
        </w:rPr>
        <w:t>Проблематика статьи</w:t>
      </w:r>
    </w:p>
    <w:p w:rsidR="00285965" w:rsidRDefault="00285965" w:rsidP="00285965">
      <w:pPr>
        <w:pStyle w:val="a3"/>
        <w:ind w:left="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Правительственная политика в области брачных отношений студенчества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века. </w:t>
      </w:r>
    </w:p>
    <w:p w:rsidR="00285965" w:rsidRDefault="00285965" w:rsidP="002859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965">
        <w:rPr>
          <w:rFonts w:ascii="Times New Roman" w:hAnsi="Times New Roman" w:cs="Times New Roman"/>
          <w:b/>
          <w:sz w:val="28"/>
          <w:szCs w:val="28"/>
        </w:rPr>
        <w:t xml:space="preserve">Тезисный план статьи </w:t>
      </w:r>
    </w:p>
    <w:p w:rsidR="00285965" w:rsidRDefault="00285965" w:rsidP="00B74347">
      <w:pPr>
        <w:tabs>
          <w:tab w:val="left" w:pos="88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74347">
        <w:rPr>
          <w:rFonts w:ascii="Times New Roman" w:hAnsi="Times New Roman" w:cs="Times New Roman"/>
          <w:sz w:val="28"/>
          <w:szCs w:val="28"/>
        </w:rPr>
        <w:tab/>
      </w:r>
      <w:r w:rsidR="00B74347" w:rsidRPr="00B74347">
        <w:rPr>
          <w:rFonts w:ascii="Times New Roman" w:hAnsi="Times New Roman" w:cs="Times New Roman"/>
          <w:sz w:val="28"/>
          <w:szCs w:val="28"/>
        </w:rPr>
        <w:t xml:space="preserve">Одним из источников о быте студенчества начала </w:t>
      </w:r>
      <w:r w:rsidR="00B74347" w:rsidRPr="00B74347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B74347" w:rsidRPr="00B74347">
        <w:rPr>
          <w:rFonts w:ascii="Times New Roman" w:hAnsi="Times New Roman" w:cs="Times New Roman"/>
          <w:sz w:val="28"/>
          <w:szCs w:val="28"/>
        </w:rPr>
        <w:t xml:space="preserve"> в. были описания П.К. Иванова, которые обосновывает три причины вступления в брак студентов:</w:t>
      </w:r>
    </w:p>
    <w:p w:rsidR="007C070D" w:rsidRPr="00B74347" w:rsidRDefault="007C070D" w:rsidP="00B74347">
      <w:pPr>
        <w:tabs>
          <w:tab w:val="left" w:pos="88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74347" w:rsidRDefault="00B74347" w:rsidP="00B74347">
      <w:pPr>
        <w:pStyle w:val="a3"/>
        <w:numPr>
          <w:ilvl w:val="0"/>
          <w:numId w:val="2"/>
        </w:numPr>
        <w:tabs>
          <w:tab w:val="left" w:pos="8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Финансовые выгоды</w:t>
      </w:r>
    </w:p>
    <w:p w:rsidR="00B74347" w:rsidRDefault="00B74347" w:rsidP="00B74347">
      <w:pPr>
        <w:pStyle w:val="a3"/>
        <w:numPr>
          <w:ilvl w:val="0"/>
          <w:numId w:val="2"/>
        </w:numPr>
        <w:tabs>
          <w:tab w:val="left" w:pos="8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Романтические отношения</w:t>
      </w:r>
    </w:p>
    <w:p w:rsidR="00B74347" w:rsidRDefault="00B74347" w:rsidP="00B74347">
      <w:pPr>
        <w:pStyle w:val="a3"/>
        <w:numPr>
          <w:ilvl w:val="0"/>
          <w:numId w:val="2"/>
        </w:numPr>
        <w:tabs>
          <w:tab w:val="left" w:pos="88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Идейные соображения</w:t>
      </w:r>
    </w:p>
    <w:p w:rsidR="00B74347" w:rsidRDefault="00B74347" w:rsidP="0085402D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статье проанализированы архивы Московского и Казанского университетов, а также документы Министерства народного просвещения (МНП). </w:t>
      </w:r>
    </w:p>
    <w:p w:rsidR="0085402D" w:rsidRDefault="00B74347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ранним свидетельством о нормах, регулирующих личную жизнь студентов является Указ Святейшего Синода (1821 г.). Указ</w:t>
      </w:r>
      <w:r w:rsidR="0085402D">
        <w:rPr>
          <w:rFonts w:ascii="Times New Roman" w:hAnsi="Times New Roman" w:cs="Times New Roman"/>
          <w:sz w:val="28"/>
          <w:szCs w:val="28"/>
        </w:rPr>
        <w:t xml:space="preserve"> запрещал священникам венчать казенных студентов до окончания обучения. Позднее законодательство только ограничивало брачный возраст: 18 лет – юноши, 16 лет – девушки.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347" w:rsidRDefault="0085402D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1860-е гг. «брачный вопрос» не регламентировался университетами, в связи с тем, что за студентами признавались гражданские права. Большое значение оказала возможность принимать в университет великовозрастных студентов (от 18 до 38 лет).</w:t>
      </w:r>
    </w:p>
    <w:p w:rsidR="0085402D" w:rsidRDefault="0085402D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1870-х гг. советом при МНП был создан проект правил для студентов, где отмечалась большая воспитательная работа университетом, направленная против ранних семейных отношений</w:t>
      </w:r>
      <w:r w:rsidR="000D6EF2">
        <w:rPr>
          <w:rFonts w:ascii="Times New Roman" w:hAnsi="Times New Roman" w:cs="Times New Roman"/>
          <w:sz w:val="28"/>
          <w:szCs w:val="28"/>
        </w:rPr>
        <w:t xml:space="preserve">. Данное министерское требование не было поддержано профессорами нескольких университетов, утверждающие о нарушении таким образом гражданских прав студентов. </w:t>
      </w:r>
    </w:p>
    <w:p w:rsidR="000D6EF2" w:rsidRDefault="000D6EF2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правления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восстанавливается правительственный контроль за университетской жизнью, предполагающий установление контроля за поведением студентов посредством педелей, введение обязательного посещения занятий, а также негласное распоряжение о запрете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студентам жениться. В 1880 г. министром Д.А. Толстым было издано Положение университетам о препятствии их студентам вступать в брак. После отставки Толстого новые министры рассматривали данный указ чрезмерной мерой и возможность решать данные вопросы непосредственно самим университетским начальством. </w:t>
      </w:r>
    </w:p>
    <w:p w:rsidR="000D6EF2" w:rsidRDefault="000D6EF2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ухода либерального министра А.П. Николаи происходит радикализм в решении университетского вопроса. </w:t>
      </w:r>
      <w:r w:rsidR="005C1697">
        <w:rPr>
          <w:rFonts w:ascii="Times New Roman" w:hAnsi="Times New Roman" w:cs="Times New Roman"/>
          <w:sz w:val="28"/>
          <w:szCs w:val="28"/>
        </w:rPr>
        <w:t xml:space="preserve">Курировать министерство образования стал человек с охранительной политической позицией – граф И.Д. </w:t>
      </w:r>
      <w:proofErr w:type="spellStart"/>
      <w:r w:rsidR="005C1697">
        <w:rPr>
          <w:rFonts w:ascii="Times New Roman" w:hAnsi="Times New Roman" w:cs="Times New Roman"/>
          <w:sz w:val="28"/>
          <w:szCs w:val="28"/>
        </w:rPr>
        <w:t>Делянов</w:t>
      </w:r>
      <w:proofErr w:type="spellEnd"/>
      <w:r w:rsidR="005C16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1697" w:rsidRDefault="009C50E1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3810</wp:posOffset>
            </wp:positionV>
            <wp:extent cx="388683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91" y="21411"/>
                <wp:lineTo x="2149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t="17965" r="35542" b="30418"/>
                    <a:stretch/>
                  </pic:blipFill>
                  <pic:spPr bwMode="auto">
                    <a:xfrm>
                      <a:off x="0" y="0"/>
                      <a:ext cx="388683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697">
        <w:rPr>
          <w:rFonts w:ascii="Times New Roman" w:hAnsi="Times New Roman" w:cs="Times New Roman"/>
          <w:sz w:val="28"/>
          <w:szCs w:val="28"/>
        </w:rPr>
        <w:t xml:space="preserve">В 1885 г. были приняты «Правила для студентов Императорских российских университетов», которые строго запрещали студентам вступать в брак. Женатые мужчины лишались права учиться. Семья была признана «отягчающим обстоятельством». </w:t>
      </w:r>
    </w:p>
    <w:p w:rsidR="005C1697" w:rsidRDefault="005C1697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1890 г. министерство использовало тактику политического торга: частично разрешалось жениться тем студентам, которые подтвердят свою «благонадежность».</w:t>
      </w:r>
    </w:p>
    <w:p w:rsidR="005C1697" w:rsidRDefault="005C1697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1898 г. министр Н.П.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Боголепов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запросил мнение у попечителей университетов о запрете студентам вступать в брак. В ответе инспектора казанских студентов П. Кочкина отмечается, что запрет необходим в связи с частичной дееспособностью студентов, их опрометчивыми решениями жениться. </w:t>
      </w:r>
      <w:r w:rsidR="00A90FC9">
        <w:rPr>
          <w:rFonts w:ascii="Times New Roman" w:hAnsi="Times New Roman" w:cs="Times New Roman"/>
          <w:sz w:val="28"/>
          <w:szCs w:val="28"/>
        </w:rPr>
        <w:t xml:space="preserve">Главным препятствием, инспектором, отмечаются материальные издержки по содержанию семьи, которые отвлекают от научных занятий. Министерство разделяло подобную точку зрения и также критиковало заключение студенческих браков. </w:t>
      </w:r>
    </w:p>
    <w:p w:rsidR="00A90FC9" w:rsidRDefault="009C50E1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-635</wp:posOffset>
            </wp:positionV>
            <wp:extent cx="1990725" cy="3149600"/>
            <wp:effectExtent l="0" t="0" r="9525" b="0"/>
            <wp:wrapTight wrapText="bothSides">
              <wp:wrapPolygon edited="0">
                <wp:start x="0" y="0"/>
                <wp:lineTo x="0" y="21426"/>
                <wp:lineTo x="21497" y="21426"/>
                <wp:lineTo x="2149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7" t="11692" r="49653" b="22434"/>
                    <a:stretch/>
                  </pic:blipFill>
                  <pic:spPr bwMode="auto">
                    <a:xfrm>
                      <a:off x="0" y="0"/>
                      <a:ext cx="1990725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FC9">
        <w:rPr>
          <w:rFonts w:ascii="Times New Roman" w:hAnsi="Times New Roman" w:cs="Times New Roman"/>
          <w:sz w:val="28"/>
          <w:szCs w:val="28"/>
        </w:rPr>
        <w:t xml:space="preserve">Университетские документы, связанные с решением брачного вопроса, датируются с 1892 по 1904 г. Документы демонстрируют бюрократическую процедуру вступления в брак: личное прошение в МНП; письменное заверение от родителей о согласии на брак; в итоге окончательное решение министром. Согласно статистике, окончательное разрешение на брак получило 66 человек из 272 (24% от всех желавших иметь семью). Большинство женатых учились на старших классах, которые были обеспечены родителями. </w:t>
      </w:r>
    </w:p>
    <w:p w:rsidR="00CD39B1" w:rsidRDefault="001C5BF7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1903 г. приват-доцентом Московского университета М.А.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Членовым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была получена статистика о частной жизни студентов, согласно которой менее 7% было женатых студентов, большая часть студентов отмечало материальный фактор, препятствующий вступлению в брак. </w:t>
      </w:r>
    </w:p>
    <w:p w:rsidR="001C5BF7" w:rsidRDefault="001C5BF7" w:rsidP="000D6EF2">
      <w:pPr>
        <w:tabs>
          <w:tab w:val="left" w:pos="88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статье, в казанской газете «Волжский вестник» от 1887 г. представляется иное видение проблемы. Статья описывает самоубийство студента из-за несчастной любви. Общественное мнение воспринимало данный поступок как недостойный и лишать себя жизни стоит только за идею и общественные интересы. Студенчество считало, что любовь интимная стоит на разряд ниже любви к народу. Это вызывало многих к участию в политических организациях, направленных против власти. </w:t>
      </w:r>
    </w:p>
    <w:p w:rsidR="000D6EF2" w:rsidRPr="0003395C" w:rsidRDefault="009C50E1" w:rsidP="009C50E1">
      <w:pPr>
        <w:pStyle w:val="a3"/>
        <w:tabs>
          <w:tab w:val="left" w:pos="889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-675005</wp:posOffset>
            </wp:positionH>
            <wp:positionV relativeFrom="paragraph">
              <wp:posOffset>259715</wp:posOffset>
            </wp:positionV>
            <wp:extent cx="4242435" cy="2943225"/>
            <wp:effectExtent l="0" t="0" r="5715" b="9525"/>
            <wp:wrapTight wrapText="bothSides">
              <wp:wrapPolygon edited="0">
                <wp:start x="0" y="0"/>
                <wp:lineTo x="0" y="21530"/>
                <wp:lineTo x="21532" y="21530"/>
                <wp:lineTo x="2153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4" t="10836" r="35062" b="23289"/>
                    <a:stretch/>
                  </pic:blipFill>
                  <pic:spPr bwMode="auto">
                    <a:xfrm>
                      <a:off x="0" y="0"/>
                      <a:ext cx="424243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A" w:rsidRPr="0003395C">
        <w:rPr>
          <w:rFonts w:ascii="Times New Roman" w:hAnsi="Times New Roman" w:cs="Times New Roman"/>
          <w:b/>
          <w:sz w:val="28"/>
          <w:szCs w:val="28"/>
        </w:rPr>
        <w:t>Выводы исследования и их обоснованность.</w:t>
      </w:r>
    </w:p>
    <w:p w:rsidR="0058522A" w:rsidRDefault="0058522A" w:rsidP="0058522A">
      <w:pPr>
        <w:pStyle w:val="a3"/>
        <w:tabs>
          <w:tab w:val="left" w:pos="889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студенческих опросов, периодической печати, а также нормативных документов авторы исследования заключают:</w:t>
      </w:r>
    </w:p>
    <w:p w:rsidR="0058522A" w:rsidRPr="006915B9" w:rsidRDefault="0058522A" w:rsidP="0058522A">
      <w:pPr>
        <w:pStyle w:val="a3"/>
        <w:numPr>
          <w:ilvl w:val="0"/>
          <w:numId w:val="3"/>
        </w:numPr>
        <w:tabs>
          <w:tab w:val="left" w:pos="88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5B9">
        <w:rPr>
          <w:rFonts w:ascii="Times New Roman" w:hAnsi="Times New Roman" w:cs="Times New Roman"/>
          <w:i/>
          <w:sz w:val="28"/>
          <w:szCs w:val="28"/>
        </w:rPr>
        <w:t xml:space="preserve">При обсуждении студенческих браков наблюдались гендерные стереотипы, наделявшие семью негативными характеристиками. </w:t>
      </w:r>
    </w:p>
    <w:p w:rsidR="006915B9" w:rsidRDefault="006915B9" w:rsidP="006915B9">
      <w:pPr>
        <w:pStyle w:val="a3"/>
        <w:tabs>
          <w:tab w:val="left" w:pos="889"/>
        </w:tabs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Данный вывод подтвержден приведенными распоряжениями министерства народного просвещения после 1880 года. </w:t>
      </w:r>
    </w:p>
    <w:p w:rsidR="0058522A" w:rsidRDefault="0058522A" w:rsidP="0058522A">
      <w:pPr>
        <w:pStyle w:val="a3"/>
        <w:numPr>
          <w:ilvl w:val="0"/>
          <w:numId w:val="3"/>
        </w:numPr>
        <w:tabs>
          <w:tab w:val="left" w:pos="88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5B9">
        <w:rPr>
          <w:rFonts w:ascii="Times New Roman" w:hAnsi="Times New Roman" w:cs="Times New Roman"/>
          <w:i/>
          <w:sz w:val="28"/>
          <w:szCs w:val="28"/>
        </w:rPr>
        <w:lastRenderedPageBreak/>
        <w:t>Высшее университетское руководство и министерство крайне мало были осведомлены о студенческой жизни.</w:t>
      </w:r>
    </w:p>
    <w:p w:rsidR="006915B9" w:rsidRPr="006915B9" w:rsidRDefault="006915B9" w:rsidP="006915B9">
      <w:pPr>
        <w:pStyle w:val="a3"/>
        <w:tabs>
          <w:tab w:val="left" w:pos="889"/>
        </w:tabs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подтверждают данное положение тем, что университетская профессура продолжала транслировать на студентов традиционный стиль взаимоотношения «отцов и детей», тогда как молодые люди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в. воспринимали себя как прогрессивное начало, желающее следовать вперед архаичных учителей. </w:t>
      </w:r>
    </w:p>
    <w:p w:rsidR="0058522A" w:rsidRDefault="0058522A" w:rsidP="0058522A">
      <w:pPr>
        <w:pStyle w:val="a3"/>
        <w:numPr>
          <w:ilvl w:val="0"/>
          <w:numId w:val="3"/>
        </w:numPr>
        <w:tabs>
          <w:tab w:val="left" w:pos="889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B80">
        <w:rPr>
          <w:rFonts w:ascii="Times New Roman" w:hAnsi="Times New Roman" w:cs="Times New Roman"/>
          <w:i/>
          <w:sz w:val="28"/>
          <w:szCs w:val="28"/>
        </w:rPr>
        <w:t>«Политические метания» университетской администрацией и принятие ею спорных решений усиливало полити</w:t>
      </w:r>
      <w:r w:rsidR="0003395C">
        <w:rPr>
          <w:rFonts w:ascii="Times New Roman" w:hAnsi="Times New Roman" w:cs="Times New Roman"/>
          <w:i/>
          <w:sz w:val="28"/>
          <w:szCs w:val="28"/>
        </w:rPr>
        <w:t>ческий радикализм студенчества.</w:t>
      </w:r>
    </w:p>
    <w:p w:rsidR="0003395C" w:rsidRPr="0003395C" w:rsidRDefault="0003395C" w:rsidP="0003395C">
      <w:pPr>
        <w:pStyle w:val="a3"/>
        <w:tabs>
          <w:tab w:val="left" w:pos="889"/>
        </w:tabs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Приведенные авторами факты доказывают индифферентность студентов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дискриминациональной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матримониальной политике университетских властей, наполненное метаниями между признанием пользы или вреда семейной жизни. </w:t>
      </w:r>
    </w:p>
    <w:p w:rsidR="0058522A" w:rsidRPr="0003395C" w:rsidRDefault="0058522A" w:rsidP="0058522A">
      <w:pPr>
        <w:pStyle w:val="a3"/>
        <w:tabs>
          <w:tab w:val="left" w:pos="889"/>
        </w:tabs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sectPr w:rsidR="0058522A" w:rsidRPr="0003395C" w:rsidSect="007C070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enski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B6A3B"/>
    <w:multiLevelType w:val="hybridMultilevel"/>
    <w:tmpl w:val="623875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F3BFF"/>
    <w:multiLevelType w:val="hybridMultilevel"/>
    <w:tmpl w:val="5630D27C"/>
    <w:lvl w:ilvl="0" w:tplc="9DA437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277057"/>
    <w:multiLevelType w:val="hybridMultilevel"/>
    <w:tmpl w:val="4704F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926A3"/>
    <w:multiLevelType w:val="hybridMultilevel"/>
    <w:tmpl w:val="EE82976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12B09"/>
    <w:multiLevelType w:val="hybridMultilevel"/>
    <w:tmpl w:val="81A296E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B6"/>
    <w:rsid w:val="00004EA1"/>
    <w:rsid w:val="0003395C"/>
    <w:rsid w:val="000D6EF2"/>
    <w:rsid w:val="001C5BF7"/>
    <w:rsid w:val="00285965"/>
    <w:rsid w:val="004E70B6"/>
    <w:rsid w:val="0058522A"/>
    <w:rsid w:val="00590242"/>
    <w:rsid w:val="005C1697"/>
    <w:rsid w:val="006915B9"/>
    <w:rsid w:val="007C070D"/>
    <w:rsid w:val="007D4178"/>
    <w:rsid w:val="0085402D"/>
    <w:rsid w:val="008F0643"/>
    <w:rsid w:val="009C50E1"/>
    <w:rsid w:val="009F5B80"/>
    <w:rsid w:val="00A90640"/>
    <w:rsid w:val="00A90FC9"/>
    <w:rsid w:val="00B74347"/>
    <w:rsid w:val="00CD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F7A59-F621-48E3-A321-FE0EF92BC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70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Чепига</dc:creator>
  <cp:keywords/>
  <dc:description/>
  <cp:lastModifiedBy>Мария Чепига</cp:lastModifiedBy>
  <cp:revision>2</cp:revision>
  <dcterms:created xsi:type="dcterms:W3CDTF">2020-04-06T03:12:00Z</dcterms:created>
  <dcterms:modified xsi:type="dcterms:W3CDTF">2020-04-06T03:12:00Z</dcterms:modified>
</cp:coreProperties>
</file>